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FAD740" w14:textId="77777777" w:rsidR="00060AF9" w:rsidRDefault="00060AF9" w:rsidP="00C45005">
      <w:pPr>
        <w:rPr>
          <w:noProof/>
          <w:sz w:val="36"/>
          <w:szCs w:val="36"/>
          <w:rtl/>
        </w:rPr>
      </w:pPr>
    </w:p>
    <w:p w14:paraId="30CEE7A3" w14:textId="2AEC6D4D" w:rsidR="004B5E8F" w:rsidRDefault="009F5766" w:rsidP="009F5766">
      <w:pPr>
        <w:jc w:val="right"/>
        <w:rPr>
          <w:noProof/>
          <w:sz w:val="24"/>
          <w:szCs w:val="24"/>
          <w:rtl/>
        </w:rPr>
      </w:pPr>
      <w:r w:rsidRPr="009F5766">
        <w:rPr>
          <w:rFonts w:hint="cs"/>
          <w:noProof/>
          <w:sz w:val="24"/>
          <w:szCs w:val="24"/>
          <w:rtl/>
        </w:rPr>
        <w:t>18/12/25</w:t>
      </w:r>
    </w:p>
    <w:p w14:paraId="66E39C1B" w14:textId="77777777" w:rsidR="009F5766" w:rsidRPr="009F5766" w:rsidRDefault="009F5766" w:rsidP="009F5766">
      <w:pPr>
        <w:jc w:val="right"/>
        <w:rPr>
          <w:noProof/>
          <w:sz w:val="24"/>
          <w:szCs w:val="24"/>
          <w:rtl/>
        </w:rPr>
      </w:pPr>
    </w:p>
    <w:p w14:paraId="3FD332B2" w14:textId="77777777" w:rsidR="00337B1A" w:rsidRDefault="005B6907" w:rsidP="00337B1A">
      <w:pPr>
        <w:jc w:val="center"/>
        <w:rPr>
          <w:b/>
          <w:bCs/>
          <w:noProof/>
          <w:sz w:val="36"/>
          <w:szCs w:val="36"/>
          <w:u w:val="single"/>
          <w:rtl/>
        </w:rPr>
      </w:pPr>
      <w:r w:rsidRPr="005B6907">
        <w:rPr>
          <w:b/>
          <w:bCs/>
          <w:noProof/>
          <w:sz w:val="36"/>
          <w:szCs w:val="36"/>
          <w:u w:val="single"/>
          <w:rtl/>
        </w:rPr>
        <w:t>מקדמי תכנון עבור</w:t>
      </w:r>
      <w:r w:rsidRPr="005B6907">
        <w:rPr>
          <w:rFonts w:hint="cs"/>
          <w:b/>
          <w:bCs/>
          <w:noProof/>
          <w:sz w:val="36"/>
          <w:szCs w:val="36"/>
          <w:u w:val="single"/>
          <w:rtl/>
        </w:rPr>
        <w:t xml:space="preserve"> מתכננים</w:t>
      </w:r>
    </w:p>
    <w:p w14:paraId="3378E8D1" w14:textId="77777777" w:rsidR="00840B3A" w:rsidRDefault="00840B3A" w:rsidP="00337B1A">
      <w:pPr>
        <w:jc w:val="center"/>
        <w:rPr>
          <w:b/>
          <w:bCs/>
          <w:noProof/>
          <w:sz w:val="36"/>
          <w:szCs w:val="36"/>
          <w:u w:val="single"/>
          <w:rtl/>
        </w:rPr>
      </w:pPr>
    </w:p>
    <w:p w14:paraId="15116A3B" w14:textId="4DA18320" w:rsidR="00840B3A" w:rsidRDefault="7A928000" w:rsidP="00D2588A">
      <w:pPr>
        <w:rPr>
          <w:noProof/>
          <w:sz w:val="24"/>
          <w:szCs w:val="24"/>
          <w:rtl/>
        </w:rPr>
      </w:pPr>
      <w:r w:rsidRPr="4F31845A">
        <w:rPr>
          <w:noProof/>
          <w:sz w:val="24"/>
          <w:szCs w:val="24"/>
          <w:rtl/>
        </w:rPr>
        <w:t>להלן פירוט המקדמים לתוספת שכר טרחת המתכנן, הרלוונטי לקבלת התוספת</w:t>
      </w:r>
      <w:r w:rsidR="0280A790" w:rsidRPr="4F31845A">
        <w:rPr>
          <w:noProof/>
          <w:sz w:val="24"/>
          <w:szCs w:val="24"/>
          <w:rtl/>
        </w:rPr>
        <w:t>.</w:t>
      </w:r>
      <w:r w:rsidR="2D8C9DD5" w:rsidRPr="4F31845A">
        <w:rPr>
          <w:noProof/>
          <w:sz w:val="24"/>
          <w:szCs w:val="24"/>
          <w:rtl/>
        </w:rPr>
        <w:t xml:space="preserve"> החלת המקדמים </w:t>
      </w:r>
      <w:r w:rsidR="69D9A7E3" w:rsidRPr="19C8CE68">
        <w:rPr>
          <w:rFonts w:ascii="Arial" w:eastAsia="Arial" w:hAnsi="Arial" w:cs="Arial"/>
          <w:noProof/>
          <w:sz w:val="24"/>
          <w:szCs w:val="24"/>
          <w:rtl/>
          <w:lang w:val="he"/>
        </w:rPr>
        <w:t>נתונה ליחידת התעריפים לאחר שהתייעצה עם כלל הגורמים הרלוונטים</w:t>
      </w:r>
      <w:r w:rsidR="69D9A7E3" w:rsidRPr="19C8CE68">
        <w:rPr>
          <w:rFonts w:ascii="Arial" w:eastAsia="Arial" w:hAnsi="Arial" w:cs="Arial"/>
          <w:noProof/>
          <w:sz w:val="24"/>
          <w:szCs w:val="24"/>
          <w:rtl/>
        </w:rPr>
        <w:t xml:space="preserve"> </w:t>
      </w:r>
      <w:r w:rsidR="70C1DCF0" w:rsidRPr="4F31845A">
        <w:rPr>
          <w:noProof/>
          <w:sz w:val="24"/>
          <w:szCs w:val="24"/>
          <w:rtl/>
        </w:rPr>
        <w:t xml:space="preserve"> </w:t>
      </w:r>
      <w:r w:rsidR="2D8C9DD5" w:rsidRPr="4F31845A">
        <w:rPr>
          <w:noProof/>
          <w:sz w:val="24"/>
          <w:szCs w:val="24"/>
          <w:rtl/>
        </w:rPr>
        <w:t>בחברת נתיבי איילון ועל פי העקרונות הבאים</w:t>
      </w:r>
      <w:r w:rsidR="2D8C9DD5" w:rsidRPr="4F31845A">
        <w:rPr>
          <w:noProof/>
          <w:sz w:val="24"/>
          <w:szCs w:val="24"/>
        </w:rPr>
        <w:t>:</w:t>
      </w:r>
    </w:p>
    <w:p w14:paraId="4113A254" w14:textId="77777777" w:rsidR="0002564A" w:rsidRPr="0002564A" w:rsidRDefault="0002564A" w:rsidP="0002564A">
      <w:pPr>
        <w:rPr>
          <w:b/>
          <w:bCs/>
          <w:noProof/>
          <w:sz w:val="24"/>
          <w:szCs w:val="24"/>
        </w:rPr>
      </w:pPr>
      <w:r w:rsidRPr="0002564A">
        <w:rPr>
          <w:b/>
          <w:bCs/>
          <w:noProof/>
          <w:sz w:val="24"/>
          <w:szCs w:val="24"/>
          <w:rtl/>
        </w:rPr>
        <w:t>עקרונות החלת המקדמים</w:t>
      </w:r>
    </w:p>
    <w:p w14:paraId="294752E6" w14:textId="140D6879" w:rsidR="0002564A" w:rsidRPr="0002564A" w:rsidRDefault="0002564A" w:rsidP="0002564A">
      <w:pPr>
        <w:rPr>
          <w:noProof/>
          <w:sz w:val="24"/>
          <w:szCs w:val="24"/>
        </w:rPr>
      </w:pPr>
      <w:r w:rsidRPr="0002564A">
        <w:rPr>
          <w:noProof/>
          <w:sz w:val="24"/>
          <w:szCs w:val="24"/>
          <w:rtl/>
        </w:rPr>
        <w:t xml:space="preserve">קביעת הזכאות למקדמים תתבצע בהתאם </w:t>
      </w:r>
      <w:r w:rsidR="00A96407">
        <w:rPr>
          <w:rFonts w:hint="cs"/>
          <w:noProof/>
          <w:sz w:val="24"/>
          <w:szCs w:val="24"/>
          <w:rtl/>
        </w:rPr>
        <w:t>ל</w:t>
      </w:r>
      <w:r w:rsidR="007F16E4">
        <w:rPr>
          <w:rFonts w:hint="cs"/>
          <w:noProof/>
          <w:sz w:val="24"/>
          <w:szCs w:val="24"/>
          <w:rtl/>
        </w:rPr>
        <w:t>אופן חישוב שכ"ט</w:t>
      </w:r>
      <w:r w:rsidRPr="0002564A">
        <w:rPr>
          <w:noProof/>
          <w:sz w:val="24"/>
          <w:szCs w:val="24"/>
          <w:rtl/>
        </w:rPr>
        <w:t xml:space="preserve"> באחת מהשיטות הבאות</w:t>
      </w:r>
      <w:r w:rsidRPr="0002564A">
        <w:rPr>
          <w:noProof/>
          <w:sz w:val="24"/>
          <w:szCs w:val="24"/>
        </w:rPr>
        <w:t>:</w:t>
      </w:r>
    </w:p>
    <w:p w14:paraId="304407FD" w14:textId="46E99FCA" w:rsidR="0002564A" w:rsidRPr="0002564A" w:rsidRDefault="0002564A" w:rsidP="0002564A">
      <w:pPr>
        <w:numPr>
          <w:ilvl w:val="0"/>
          <w:numId w:val="3"/>
        </w:numPr>
        <w:rPr>
          <w:noProof/>
          <w:sz w:val="24"/>
          <w:szCs w:val="24"/>
        </w:rPr>
      </w:pPr>
      <w:r w:rsidRPr="0002564A">
        <w:rPr>
          <w:b/>
          <w:bCs/>
          <w:noProof/>
          <w:sz w:val="24"/>
          <w:szCs w:val="24"/>
          <w:rtl/>
        </w:rPr>
        <w:t>שיטת המצטברת (פרויקט אחוד)</w:t>
      </w:r>
      <w:r w:rsidRPr="0002564A">
        <w:rPr>
          <w:b/>
          <w:bCs/>
          <w:noProof/>
          <w:sz w:val="24"/>
          <w:szCs w:val="24"/>
        </w:rPr>
        <w:t>:</w:t>
      </w:r>
      <w:r w:rsidRPr="0002564A">
        <w:rPr>
          <w:noProof/>
          <w:sz w:val="24"/>
          <w:szCs w:val="24"/>
        </w:rPr>
        <w:br/>
      </w:r>
      <w:r w:rsidRPr="0002564A">
        <w:rPr>
          <w:noProof/>
          <w:sz w:val="24"/>
          <w:szCs w:val="24"/>
          <w:rtl/>
        </w:rPr>
        <w:t>בפרויקטים המחושבים על בסיס עלות שכר טרחה, יחולו מקדמי התוספת המאושרים על כלל שכר התכנון. המקדמים נועדו לשקף את מורכבות הפרויקט והיקפו כגוף תכנוני אחד</w:t>
      </w:r>
      <w:r w:rsidRPr="0002564A">
        <w:rPr>
          <w:noProof/>
          <w:sz w:val="24"/>
          <w:szCs w:val="24"/>
        </w:rPr>
        <w:t>.</w:t>
      </w:r>
    </w:p>
    <w:p w14:paraId="3CF344DC" w14:textId="77777777" w:rsidR="0002564A" w:rsidRPr="0002564A" w:rsidRDefault="0002564A" w:rsidP="0002564A">
      <w:pPr>
        <w:numPr>
          <w:ilvl w:val="0"/>
          <w:numId w:val="3"/>
        </w:numPr>
        <w:rPr>
          <w:noProof/>
          <w:sz w:val="24"/>
          <w:szCs w:val="24"/>
        </w:rPr>
      </w:pPr>
      <w:r w:rsidRPr="0002564A">
        <w:rPr>
          <w:b/>
          <w:bCs/>
          <w:noProof/>
          <w:sz w:val="24"/>
          <w:szCs w:val="24"/>
          <w:rtl/>
        </w:rPr>
        <w:t>שיטת תתי-פרויקטים (פרויקט מפוצל)</w:t>
      </w:r>
      <w:r w:rsidRPr="0002564A">
        <w:rPr>
          <w:b/>
          <w:bCs/>
          <w:noProof/>
          <w:sz w:val="24"/>
          <w:szCs w:val="24"/>
        </w:rPr>
        <w:t>:</w:t>
      </w:r>
      <w:r w:rsidRPr="0002564A">
        <w:rPr>
          <w:noProof/>
          <w:sz w:val="24"/>
          <w:szCs w:val="24"/>
        </w:rPr>
        <w:br/>
      </w:r>
      <w:r w:rsidRPr="0002564A">
        <w:rPr>
          <w:noProof/>
          <w:sz w:val="24"/>
          <w:szCs w:val="24"/>
          <w:rtl/>
        </w:rPr>
        <w:t>בפרויקטים המחולקים לתתי-פרויקטים </w:t>
      </w:r>
      <w:r w:rsidRPr="0002564A">
        <w:rPr>
          <w:b/>
          <w:bCs/>
          <w:noProof/>
          <w:sz w:val="24"/>
          <w:szCs w:val="24"/>
          <w:rtl/>
        </w:rPr>
        <w:t>לא יחולו</w:t>
      </w:r>
      <w:r w:rsidRPr="0002564A">
        <w:rPr>
          <w:noProof/>
          <w:sz w:val="24"/>
          <w:szCs w:val="24"/>
          <w:rtl/>
        </w:rPr>
        <w:t> מקדמי תוספת. חלוקת הפרויקט והתמחור הנפרד של כל רכיב מהווים מענה מובנה למורכבות העבודה ומשמשים ככלי תגמול המשקף נאמנה את היקף העבודה. חלוקה זו נחשבת כמיצוי זכאות המתכנן לתוספות בגין מורכבות</w:t>
      </w:r>
      <w:r w:rsidRPr="0002564A">
        <w:rPr>
          <w:noProof/>
          <w:sz w:val="24"/>
          <w:szCs w:val="24"/>
        </w:rPr>
        <w:t>.</w:t>
      </w:r>
    </w:p>
    <w:p w14:paraId="5BA57E7E" w14:textId="01C8841A" w:rsidR="0002564A" w:rsidRDefault="0002564A" w:rsidP="0002564A">
      <w:pPr>
        <w:numPr>
          <w:ilvl w:val="0"/>
          <w:numId w:val="3"/>
        </w:numPr>
        <w:rPr>
          <w:noProof/>
          <w:sz w:val="24"/>
          <w:szCs w:val="24"/>
        </w:rPr>
      </w:pPr>
      <w:r w:rsidRPr="0002564A">
        <w:rPr>
          <w:b/>
          <w:bCs/>
          <w:noProof/>
          <w:sz w:val="24"/>
          <w:szCs w:val="24"/>
          <w:rtl/>
        </w:rPr>
        <w:t>שיטת מחיר סופי</w:t>
      </w:r>
      <w:r w:rsidRPr="0002564A">
        <w:rPr>
          <w:b/>
          <w:bCs/>
          <w:noProof/>
          <w:sz w:val="24"/>
          <w:szCs w:val="24"/>
        </w:rPr>
        <w:t xml:space="preserve"> (Fix Price</w:t>
      </w:r>
      <w:r w:rsidR="00016300">
        <w:rPr>
          <w:b/>
          <w:bCs/>
          <w:noProof/>
          <w:sz w:val="24"/>
          <w:szCs w:val="24"/>
        </w:rPr>
        <w:t>)</w:t>
      </w:r>
      <w:r w:rsidRPr="0002564A">
        <w:rPr>
          <w:b/>
          <w:bCs/>
          <w:noProof/>
          <w:sz w:val="24"/>
          <w:szCs w:val="24"/>
        </w:rPr>
        <w:t xml:space="preserve"> </w:t>
      </w:r>
      <w:r w:rsidR="00A11E6A">
        <w:rPr>
          <w:rFonts w:hint="cs"/>
          <w:b/>
          <w:bCs/>
          <w:noProof/>
          <w:sz w:val="24"/>
          <w:szCs w:val="24"/>
          <w:rtl/>
        </w:rPr>
        <w:t xml:space="preserve">/ </w:t>
      </w:r>
      <w:r w:rsidRPr="0002564A">
        <w:rPr>
          <w:b/>
          <w:bCs/>
          <w:noProof/>
          <w:sz w:val="24"/>
          <w:szCs w:val="24"/>
          <w:rtl/>
        </w:rPr>
        <w:t>תוספת קבועה</w:t>
      </w:r>
      <w:r w:rsidR="00A11E6A">
        <w:rPr>
          <w:rFonts w:hint="cs"/>
          <w:noProof/>
          <w:sz w:val="24"/>
          <w:szCs w:val="24"/>
          <w:rtl/>
        </w:rPr>
        <w:t>:</w:t>
      </w:r>
      <w:r w:rsidRPr="0002564A">
        <w:rPr>
          <w:noProof/>
          <w:sz w:val="24"/>
          <w:szCs w:val="24"/>
        </w:rPr>
        <w:br/>
      </w:r>
      <w:r w:rsidRPr="0002564A">
        <w:rPr>
          <w:noProof/>
          <w:sz w:val="24"/>
          <w:szCs w:val="24"/>
          <w:rtl/>
        </w:rPr>
        <w:t>בפרויקטים בהם נקבע מחיר סופי ומוגדר מראש עבור תכולת העבודה, לא יוחלו מקדמי תוספת, גם אם תמחור הבסיס הסתמך על תעריפי נת"א</w:t>
      </w:r>
      <w:r w:rsidRPr="0002564A">
        <w:rPr>
          <w:noProof/>
          <w:sz w:val="24"/>
          <w:szCs w:val="24"/>
        </w:rPr>
        <w:t>.</w:t>
      </w:r>
    </w:p>
    <w:p w14:paraId="4D2C88BC" w14:textId="77777777" w:rsidR="003F5E39" w:rsidRDefault="003F5E39" w:rsidP="003F5E39">
      <w:pPr>
        <w:rPr>
          <w:noProof/>
          <w:sz w:val="24"/>
          <w:szCs w:val="24"/>
          <w:rtl/>
        </w:rPr>
      </w:pPr>
    </w:p>
    <w:p w14:paraId="5C274511" w14:textId="77777777" w:rsidR="004B5E8F" w:rsidRDefault="00741618" w:rsidP="00741618">
      <w:pPr>
        <w:rPr>
          <w:noProof/>
          <w:sz w:val="24"/>
          <w:szCs w:val="24"/>
          <w:rtl/>
        </w:rPr>
      </w:pPr>
      <w:r w:rsidRPr="00F269C0">
        <w:rPr>
          <w:noProof/>
          <w:sz w:val="24"/>
          <w:szCs w:val="24"/>
          <w:rtl/>
        </w:rPr>
        <w:t>המקדמים המפורטים להלן תקפים עבור שלב התכנון בלבד, ולא ניתן יהיה להחילם על שלב הביצוע (פיקוח עליון)</w:t>
      </w:r>
      <w:r w:rsidRPr="00F269C0">
        <w:rPr>
          <w:noProof/>
          <w:sz w:val="24"/>
          <w:szCs w:val="24"/>
        </w:rPr>
        <w:t>.</w:t>
      </w:r>
    </w:p>
    <w:p w14:paraId="0C8FA621" w14:textId="77777777" w:rsidR="004B5E8F" w:rsidRDefault="00741618" w:rsidP="00741618">
      <w:pPr>
        <w:rPr>
          <w:noProof/>
          <w:sz w:val="24"/>
          <w:szCs w:val="24"/>
          <w:rtl/>
        </w:rPr>
      </w:pPr>
      <w:r w:rsidRPr="00F269C0">
        <w:rPr>
          <w:noProof/>
          <w:sz w:val="24"/>
          <w:szCs w:val="24"/>
          <w:rtl/>
        </w:rPr>
        <w:t>ככל שיאושר מקדם 'חבילות תכנון', לא יינתן בנוסף מקדם עבור 'פיצול מכרזים', כהגדרתם בחוברת התעריפים של החברה</w:t>
      </w:r>
      <w:r w:rsidRPr="00F269C0">
        <w:rPr>
          <w:noProof/>
          <w:sz w:val="24"/>
          <w:szCs w:val="24"/>
        </w:rPr>
        <w:t>.</w:t>
      </w:r>
    </w:p>
    <w:p w14:paraId="197914F7" w14:textId="77777777" w:rsidR="004B5E8F" w:rsidRDefault="00741618" w:rsidP="00741618">
      <w:pPr>
        <w:rPr>
          <w:noProof/>
          <w:sz w:val="24"/>
          <w:szCs w:val="24"/>
          <w:rtl/>
        </w:rPr>
      </w:pPr>
      <w:r w:rsidRPr="00F269C0">
        <w:rPr>
          <w:noProof/>
          <w:sz w:val="24"/>
          <w:szCs w:val="24"/>
        </w:rPr>
        <w:br/>
      </w:r>
      <w:r w:rsidRPr="00F269C0">
        <w:rPr>
          <w:noProof/>
          <w:sz w:val="24"/>
          <w:szCs w:val="24"/>
          <w:rtl/>
        </w:rPr>
        <w:t xml:space="preserve">מקדמים אלו יוחלו גם במקרים בהם יאושר </w:t>
      </w:r>
      <w:r w:rsidR="00A50567" w:rsidRPr="00F269C0">
        <w:rPr>
          <w:rFonts w:hint="cs"/>
          <w:noProof/>
          <w:sz w:val="24"/>
          <w:szCs w:val="24"/>
          <w:rtl/>
        </w:rPr>
        <w:t>"</w:t>
      </w:r>
      <w:r w:rsidRPr="00F269C0">
        <w:rPr>
          <w:noProof/>
          <w:sz w:val="24"/>
          <w:szCs w:val="24"/>
          <w:rtl/>
        </w:rPr>
        <w:t>רה-תכנון</w:t>
      </w:r>
      <w:r w:rsidR="00A50567" w:rsidRPr="00F269C0">
        <w:rPr>
          <w:rFonts w:hint="cs"/>
          <w:noProof/>
          <w:sz w:val="24"/>
          <w:szCs w:val="24"/>
          <w:rtl/>
        </w:rPr>
        <w:t>"</w:t>
      </w:r>
      <w:r w:rsidRPr="00F269C0">
        <w:rPr>
          <w:noProof/>
          <w:sz w:val="24"/>
          <w:szCs w:val="24"/>
          <w:rtl/>
        </w:rPr>
        <w:t xml:space="preserve"> למתכנן</w:t>
      </w:r>
      <w:r w:rsidRPr="00F269C0">
        <w:rPr>
          <w:noProof/>
          <w:sz w:val="24"/>
          <w:szCs w:val="24"/>
        </w:rPr>
        <w:t>.</w:t>
      </w:r>
    </w:p>
    <w:p w14:paraId="362265FB" w14:textId="534BAEAD" w:rsidR="00741618" w:rsidRDefault="00741618" w:rsidP="00741618">
      <w:pPr>
        <w:rPr>
          <w:noProof/>
          <w:sz w:val="24"/>
          <w:szCs w:val="24"/>
          <w:rtl/>
        </w:rPr>
      </w:pPr>
      <w:r w:rsidRPr="00F269C0">
        <w:rPr>
          <w:noProof/>
          <w:sz w:val="24"/>
          <w:szCs w:val="24"/>
          <w:rtl/>
        </w:rPr>
        <w:t>הוספת המקדמים תתאפשר גם רטרואקטיבית</w:t>
      </w:r>
      <w:r w:rsidR="00A50567" w:rsidRPr="00F269C0">
        <w:rPr>
          <w:rFonts w:hint="cs"/>
          <w:noProof/>
          <w:sz w:val="24"/>
          <w:szCs w:val="24"/>
          <w:rtl/>
        </w:rPr>
        <w:t xml:space="preserve"> </w:t>
      </w:r>
      <w:r w:rsidRPr="00F269C0">
        <w:rPr>
          <w:noProof/>
          <w:sz w:val="24"/>
          <w:szCs w:val="24"/>
          <w:rtl/>
        </w:rPr>
        <w:t>עבור שלבי התכנון הרלוונטיים, וזאת בהתאם לתכולת העבודה, למספר חבילות התכנון שייקבעו על ידי החטיבה המבצעת, ובכפוף לשיקול דעתה הבלעדי של חברת נתיבי איילון</w:t>
      </w:r>
    </w:p>
    <w:p w14:paraId="2E7BAD82" w14:textId="77777777" w:rsidR="000E2467" w:rsidRDefault="000E2467" w:rsidP="000E2467">
      <w:pPr>
        <w:rPr>
          <w:noProof/>
          <w:sz w:val="24"/>
          <w:szCs w:val="24"/>
          <w:rtl/>
        </w:rPr>
      </w:pPr>
    </w:p>
    <w:p w14:paraId="6121BFD8" w14:textId="77777777" w:rsidR="000E2467" w:rsidRPr="0002564A" w:rsidRDefault="000E2467" w:rsidP="000E2467">
      <w:pPr>
        <w:rPr>
          <w:noProof/>
          <w:sz w:val="24"/>
          <w:szCs w:val="24"/>
        </w:rPr>
      </w:pPr>
    </w:p>
    <w:p w14:paraId="76F2880E" w14:textId="77777777" w:rsidR="0002564A" w:rsidRPr="0002564A" w:rsidRDefault="0002564A" w:rsidP="0002564A">
      <w:pPr>
        <w:rPr>
          <w:b/>
          <w:bCs/>
          <w:noProof/>
          <w:sz w:val="24"/>
          <w:szCs w:val="24"/>
          <w:rtl/>
        </w:rPr>
      </w:pPr>
      <w:r w:rsidRPr="0002564A">
        <w:rPr>
          <w:b/>
          <w:bCs/>
          <w:noProof/>
          <w:sz w:val="24"/>
          <w:szCs w:val="24"/>
          <w:rtl/>
        </w:rPr>
        <w:t>מגבלות והחרגות</w:t>
      </w:r>
      <w:r w:rsidRPr="0002564A">
        <w:rPr>
          <w:b/>
          <w:bCs/>
          <w:noProof/>
          <w:sz w:val="24"/>
          <w:szCs w:val="24"/>
        </w:rPr>
        <w:t>:</w:t>
      </w:r>
    </w:p>
    <w:p w14:paraId="515A6A96" w14:textId="77777777" w:rsidR="0002564A" w:rsidRPr="0002564A" w:rsidRDefault="0002564A" w:rsidP="0002564A">
      <w:pPr>
        <w:numPr>
          <w:ilvl w:val="0"/>
          <w:numId w:val="4"/>
        </w:numPr>
        <w:rPr>
          <w:noProof/>
          <w:sz w:val="24"/>
          <w:szCs w:val="24"/>
        </w:rPr>
      </w:pPr>
      <w:r w:rsidRPr="0002564A">
        <w:rPr>
          <w:noProof/>
          <w:sz w:val="24"/>
          <w:szCs w:val="24"/>
          <w:rtl/>
        </w:rPr>
        <w:t>המקדמים המפורטים הם </w:t>
      </w:r>
      <w:r w:rsidRPr="0002564A">
        <w:rPr>
          <w:b/>
          <w:bCs/>
          <w:noProof/>
          <w:sz w:val="24"/>
          <w:szCs w:val="24"/>
          <w:rtl/>
        </w:rPr>
        <w:t>מקדמי מקסימום</w:t>
      </w:r>
      <w:r w:rsidRPr="0002564A">
        <w:rPr>
          <w:noProof/>
          <w:sz w:val="24"/>
          <w:szCs w:val="24"/>
          <w:rtl/>
        </w:rPr>
        <w:t> עבור פרויקטי פיתוח, סלילה ומבני דרך הכלולים בהם</w:t>
      </w:r>
      <w:r w:rsidRPr="0002564A">
        <w:rPr>
          <w:noProof/>
          <w:sz w:val="24"/>
          <w:szCs w:val="24"/>
        </w:rPr>
        <w:t>.</w:t>
      </w:r>
    </w:p>
    <w:p w14:paraId="5070D8A4" w14:textId="22EBA324" w:rsidR="0002564A" w:rsidRPr="00980265" w:rsidRDefault="0002564A" w:rsidP="00840B3A">
      <w:pPr>
        <w:numPr>
          <w:ilvl w:val="0"/>
          <w:numId w:val="4"/>
        </w:numPr>
        <w:rPr>
          <w:noProof/>
          <w:sz w:val="24"/>
          <w:szCs w:val="24"/>
          <w:rtl/>
        </w:rPr>
      </w:pPr>
      <w:r w:rsidRPr="0002564A">
        <w:rPr>
          <w:noProof/>
          <w:sz w:val="24"/>
          <w:szCs w:val="24"/>
          <w:rtl/>
        </w:rPr>
        <w:t>המקדמים </w:t>
      </w:r>
      <w:r w:rsidRPr="0002564A">
        <w:rPr>
          <w:b/>
          <w:bCs/>
          <w:noProof/>
          <w:sz w:val="24"/>
          <w:szCs w:val="24"/>
          <w:rtl/>
        </w:rPr>
        <w:t>אינם חלים</w:t>
      </w:r>
      <w:r w:rsidRPr="0002564A">
        <w:rPr>
          <w:noProof/>
          <w:sz w:val="24"/>
          <w:szCs w:val="24"/>
          <w:rtl/>
        </w:rPr>
        <w:t> על פרויקטי אחזקה,</w:t>
      </w:r>
      <w:r w:rsidR="00AC597A">
        <w:rPr>
          <w:rFonts w:hint="cs"/>
          <w:noProof/>
          <w:sz w:val="24"/>
          <w:szCs w:val="24"/>
          <w:rtl/>
        </w:rPr>
        <w:t xml:space="preserve"> תוכנית אב,</w:t>
      </w:r>
      <w:r w:rsidRPr="0002564A">
        <w:rPr>
          <w:noProof/>
          <w:sz w:val="24"/>
          <w:szCs w:val="24"/>
          <w:rtl/>
        </w:rPr>
        <w:t xml:space="preserve"> טכנולוגיה </w:t>
      </w:r>
      <w:r w:rsidR="00AC597A">
        <w:rPr>
          <w:rFonts w:hint="cs"/>
          <w:noProof/>
          <w:sz w:val="24"/>
          <w:szCs w:val="24"/>
          <w:rtl/>
        </w:rPr>
        <w:t>ו</w:t>
      </w:r>
      <w:r w:rsidRPr="0002564A">
        <w:rPr>
          <w:noProof/>
          <w:sz w:val="24"/>
          <w:szCs w:val="24"/>
          <w:rtl/>
        </w:rPr>
        <w:t>מסופ</w:t>
      </w:r>
      <w:r w:rsidR="00980265">
        <w:rPr>
          <w:rFonts w:hint="cs"/>
          <w:noProof/>
          <w:sz w:val="24"/>
          <w:szCs w:val="24"/>
          <w:rtl/>
        </w:rPr>
        <w:t>ים</w:t>
      </w:r>
      <w:r w:rsidR="00AC597A">
        <w:rPr>
          <w:rFonts w:hint="cs"/>
          <w:noProof/>
          <w:sz w:val="24"/>
          <w:szCs w:val="24"/>
          <w:rtl/>
        </w:rPr>
        <w:t xml:space="preserve"> .</w:t>
      </w:r>
    </w:p>
    <w:p w14:paraId="6C70518F" w14:textId="77777777" w:rsidR="00E1630C" w:rsidRDefault="00E1630C" w:rsidP="00337B1A">
      <w:pPr>
        <w:rPr>
          <w:noProof/>
          <w:sz w:val="24"/>
          <w:szCs w:val="24"/>
          <w:rtl/>
        </w:rPr>
      </w:pPr>
    </w:p>
    <w:p w14:paraId="1F93BBE3" w14:textId="1DECB32E" w:rsidR="000C7C7B" w:rsidRDefault="00BB1B72" w:rsidP="000C7C7B">
      <w:pPr>
        <w:rPr>
          <w:noProof/>
          <w:sz w:val="24"/>
          <w:szCs w:val="24"/>
          <w:rtl/>
        </w:rPr>
      </w:pPr>
      <w:r>
        <w:rPr>
          <w:rFonts w:hint="cs"/>
          <w:noProof/>
          <w:sz w:val="24"/>
          <w:szCs w:val="24"/>
          <w:rtl/>
        </w:rPr>
        <w:t>ג</w:t>
      </w:r>
      <w:r w:rsidR="00E1630C" w:rsidRPr="00E1630C">
        <w:rPr>
          <w:noProof/>
          <w:sz w:val="24"/>
          <w:szCs w:val="24"/>
          <w:rtl/>
        </w:rPr>
        <w:t>ובה המקדם עבור כל מקצוע תכנון</w:t>
      </w:r>
      <w:r w:rsidR="007769EC">
        <w:rPr>
          <w:rFonts w:hint="cs"/>
          <w:noProof/>
          <w:sz w:val="24"/>
          <w:szCs w:val="24"/>
          <w:rtl/>
        </w:rPr>
        <w:t xml:space="preserve"> הרלוונטי</w:t>
      </w:r>
      <w:r w:rsidR="00E1630C" w:rsidRPr="00E1630C">
        <w:rPr>
          <w:noProof/>
          <w:sz w:val="24"/>
          <w:szCs w:val="24"/>
          <w:rtl/>
        </w:rPr>
        <w:t xml:space="preserve"> ייבחן וייקבע סופית על ידי חברת נתיבי איילון (כמפורט בטבלה להלן), עם קבלת אישור מעבר ל'שיפוט 2'. </w:t>
      </w:r>
    </w:p>
    <w:p w14:paraId="7E41D92F" w14:textId="77777777" w:rsidR="00CF73F8" w:rsidRDefault="00E1630C" w:rsidP="000C7C7B">
      <w:pPr>
        <w:rPr>
          <w:noProof/>
          <w:sz w:val="24"/>
          <w:szCs w:val="24"/>
          <w:rtl/>
        </w:rPr>
      </w:pPr>
      <w:r w:rsidRPr="00E1630C">
        <w:rPr>
          <w:noProof/>
          <w:sz w:val="24"/>
          <w:szCs w:val="24"/>
          <w:rtl/>
        </w:rPr>
        <w:t>לאחר מכן, תוגש בקשה ל</w:t>
      </w:r>
      <w:r w:rsidR="000054E4">
        <w:rPr>
          <w:rFonts w:hint="cs"/>
          <w:noProof/>
          <w:sz w:val="24"/>
          <w:szCs w:val="24"/>
          <w:rtl/>
        </w:rPr>
        <w:t>אישור</w:t>
      </w:r>
      <w:r w:rsidRPr="00E1630C">
        <w:rPr>
          <w:noProof/>
          <w:sz w:val="24"/>
          <w:szCs w:val="24"/>
          <w:rtl/>
        </w:rPr>
        <w:t xml:space="preserve"> המקדמים ליחידת התעריפים</w:t>
      </w:r>
      <w:r w:rsidRPr="00E1630C">
        <w:rPr>
          <w:noProof/>
          <w:sz w:val="24"/>
          <w:szCs w:val="24"/>
        </w:rPr>
        <w:t>.</w:t>
      </w:r>
    </w:p>
    <w:p w14:paraId="5CB60117" w14:textId="31C19825" w:rsidR="00103F1D" w:rsidRDefault="00103F1D" w:rsidP="000C7C7B">
      <w:pPr>
        <w:rPr>
          <w:noProof/>
          <w:sz w:val="24"/>
          <w:szCs w:val="24"/>
          <w:rtl/>
        </w:rPr>
      </w:pPr>
    </w:p>
    <w:tbl>
      <w:tblPr>
        <w:tblStyle w:val="TableGrid"/>
        <w:bidiVisual/>
        <w:tblW w:w="9036" w:type="dxa"/>
        <w:tblLook w:val="04A0" w:firstRow="1" w:lastRow="0" w:firstColumn="1" w:lastColumn="0" w:noHBand="0" w:noVBand="1"/>
      </w:tblPr>
      <w:tblGrid>
        <w:gridCol w:w="2655"/>
        <w:gridCol w:w="2875"/>
        <w:gridCol w:w="3506"/>
      </w:tblGrid>
      <w:tr w:rsidR="00E94274" w14:paraId="21664B12" w14:textId="77777777" w:rsidTr="625CC6C3">
        <w:trPr>
          <w:trHeight w:val="664"/>
        </w:trPr>
        <w:tc>
          <w:tcPr>
            <w:tcW w:w="2655" w:type="dxa"/>
          </w:tcPr>
          <w:p w14:paraId="7055D9E2" w14:textId="5FBDEF71" w:rsidR="00E94274" w:rsidRPr="009251AA" w:rsidRDefault="00CE5304" w:rsidP="00CE5304">
            <w:pPr>
              <w:tabs>
                <w:tab w:val="left" w:pos="1817"/>
              </w:tabs>
              <w:jc w:val="both"/>
              <w:rPr>
                <w:b/>
                <w:bCs/>
                <w:noProof/>
                <w:sz w:val="28"/>
                <w:szCs w:val="28"/>
                <w:rtl/>
              </w:rPr>
            </w:pPr>
            <w:r w:rsidRPr="009251AA">
              <w:rPr>
                <w:rFonts w:hint="cs"/>
                <w:b/>
                <w:bCs/>
                <w:noProof/>
                <w:sz w:val="28"/>
                <w:szCs w:val="28"/>
                <w:rtl/>
              </w:rPr>
              <w:t>סוג המקדם</w:t>
            </w:r>
          </w:p>
        </w:tc>
        <w:tc>
          <w:tcPr>
            <w:tcW w:w="2875" w:type="dxa"/>
          </w:tcPr>
          <w:p w14:paraId="28949A94" w14:textId="22F434F4" w:rsidR="00C115A4" w:rsidRPr="009251AA" w:rsidRDefault="00C115A4" w:rsidP="00C115A4">
            <w:pPr>
              <w:jc w:val="center"/>
              <w:rPr>
                <w:b/>
                <w:bCs/>
                <w:noProof/>
                <w:sz w:val="28"/>
                <w:szCs w:val="28"/>
                <w:rtl/>
              </w:rPr>
            </w:pPr>
            <w:r w:rsidRPr="009251AA">
              <w:rPr>
                <w:rFonts w:hint="cs"/>
                <w:b/>
                <w:bCs/>
                <w:noProof/>
                <w:sz w:val="28"/>
                <w:szCs w:val="28"/>
                <w:rtl/>
              </w:rPr>
              <w:t>תאור</w:t>
            </w:r>
          </w:p>
        </w:tc>
        <w:tc>
          <w:tcPr>
            <w:tcW w:w="3506" w:type="dxa"/>
          </w:tcPr>
          <w:p w14:paraId="67FAF3C2" w14:textId="06F24090" w:rsidR="00E94274" w:rsidRPr="009251AA" w:rsidRDefault="005D2BAF" w:rsidP="00C115A4">
            <w:pPr>
              <w:jc w:val="center"/>
              <w:rPr>
                <w:b/>
                <w:bCs/>
                <w:noProof/>
                <w:sz w:val="28"/>
                <w:szCs w:val="28"/>
                <w:rtl/>
              </w:rPr>
            </w:pPr>
            <w:r w:rsidRPr="009251AA">
              <w:rPr>
                <w:rFonts w:hint="cs"/>
                <w:b/>
                <w:bCs/>
                <w:noProof/>
                <w:sz w:val="28"/>
                <w:szCs w:val="28"/>
                <w:rtl/>
              </w:rPr>
              <w:t>אחוז מקדם</w:t>
            </w:r>
          </w:p>
        </w:tc>
      </w:tr>
      <w:tr w:rsidR="00E94274" w14:paraId="633A3A9D" w14:textId="77777777" w:rsidTr="625CC6C3">
        <w:tc>
          <w:tcPr>
            <w:tcW w:w="2655" w:type="dxa"/>
          </w:tcPr>
          <w:p w14:paraId="3D581299" w14:textId="77777777" w:rsidR="00E94274" w:rsidRPr="009251AA" w:rsidRDefault="00F1784D" w:rsidP="009251AA">
            <w:pPr>
              <w:jc w:val="center"/>
              <w:rPr>
                <w:noProof/>
                <w:sz w:val="28"/>
                <w:szCs w:val="28"/>
                <w:rtl/>
              </w:rPr>
            </w:pPr>
            <w:r w:rsidRPr="009251AA">
              <w:rPr>
                <w:rFonts w:hint="cs"/>
                <w:noProof/>
                <w:sz w:val="28"/>
                <w:szCs w:val="28"/>
                <w:rtl/>
              </w:rPr>
              <w:t>תיאום מול רשויות תמרור</w:t>
            </w:r>
          </w:p>
          <w:p w14:paraId="6C5AB319" w14:textId="66D6B7CC" w:rsidR="00F1784D" w:rsidRDefault="00F1784D" w:rsidP="009251AA">
            <w:pPr>
              <w:jc w:val="center"/>
              <w:rPr>
                <w:noProof/>
                <w:sz w:val="24"/>
                <w:szCs w:val="24"/>
                <w:rtl/>
              </w:rPr>
            </w:pPr>
          </w:p>
        </w:tc>
        <w:tc>
          <w:tcPr>
            <w:tcW w:w="2875" w:type="dxa"/>
          </w:tcPr>
          <w:p w14:paraId="6E95C3CF" w14:textId="497A0B97" w:rsidR="00E94274" w:rsidRDefault="00380EFD" w:rsidP="00694F90">
            <w:pPr>
              <w:rPr>
                <w:noProof/>
                <w:sz w:val="24"/>
                <w:szCs w:val="24"/>
                <w:rtl/>
              </w:rPr>
            </w:pPr>
            <w:r>
              <w:rPr>
                <w:rFonts w:hint="cs"/>
                <w:noProof/>
                <w:sz w:val="24"/>
                <w:szCs w:val="24"/>
                <w:rtl/>
              </w:rPr>
              <w:t>רשות תמרור</w:t>
            </w:r>
            <w:r w:rsidR="00FD28B8">
              <w:rPr>
                <w:rFonts w:hint="cs"/>
                <w:noProof/>
                <w:sz w:val="24"/>
                <w:szCs w:val="24"/>
                <w:rtl/>
              </w:rPr>
              <w:t>- רשות תמרור מקומית</w:t>
            </w:r>
            <w:r w:rsidR="007D6B57">
              <w:rPr>
                <w:rFonts w:hint="cs"/>
                <w:noProof/>
                <w:sz w:val="24"/>
                <w:szCs w:val="24"/>
                <w:rtl/>
              </w:rPr>
              <w:t xml:space="preserve">: </w:t>
            </w:r>
            <w:r w:rsidR="007F2441">
              <w:rPr>
                <w:rFonts w:hint="cs"/>
                <w:noProof/>
                <w:sz w:val="24"/>
                <w:szCs w:val="24"/>
                <w:rtl/>
              </w:rPr>
              <w:t xml:space="preserve">עיריות, </w:t>
            </w:r>
            <w:r w:rsidR="00AD74E6">
              <w:rPr>
                <w:rFonts w:hint="cs"/>
                <w:noProof/>
                <w:sz w:val="24"/>
                <w:szCs w:val="24"/>
                <w:rtl/>
              </w:rPr>
              <w:t>נת"י, נת"ע, רכבת ישראל</w:t>
            </w:r>
            <w:r w:rsidR="00411CA8">
              <w:rPr>
                <w:rFonts w:hint="cs"/>
                <w:noProof/>
                <w:sz w:val="24"/>
                <w:szCs w:val="24"/>
                <w:rtl/>
              </w:rPr>
              <w:t xml:space="preserve">, </w:t>
            </w:r>
            <w:r w:rsidR="003008F9">
              <w:rPr>
                <w:rFonts w:hint="cs"/>
                <w:noProof/>
                <w:sz w:val="24"/>
                <w:szCs w:val="24"/>
                <w:rtl/>
              </w:rPr>
              <w:t>חוצי ישאל</w:t>
            </w:r>
            <w:r w:rsidR="0077744C">
              <w:rPr>
                <w:rFonts w:hint="cs"/>
                <w:noProof/>
                <w:sz w:val="24"/>
                <w:szCs w:val="24"/>
                <w:rtl/>
              </w:rPr>
              <w:t xml:space="preserve"> וכל </w:t>
            </w:r>
            <w:r w:rsidR="0060751C">
              <w:rPr>
                <w:rFonts w:hint="cs"/>
                <w:noProof/>
                <w:sz w:val="24"/>
                <w:szCs w:val="24"/>
                <w:rtl/>
              </w:rPr>
              <w:t xml:space="preserve">רשות תמרור </w:t>
            </w:r>
            <w:r w:rsidR="00DF2230">
              <w:rPr>
                <w:rFonts w:hint="cs"/>
                <w:noProof/>
                <w:sz w:val="24"/>
                <w:szCs w:val="24"/>
                <w:rtl/>
              </w:rPr>
              <w:t>שהוגדר בתקנון התעבורה.</w:t>
            </w:r>
          </w:p>
        </w:tc>
        <w:tc>
          <w:tcPr>
            <w:tcW w:w="3506" w:type="dxa"/>
          </w:tcPr>
          <w:p w14:paraId="669F1F11" w14:textId="66836856" w:rsidR="00BE7C69" w:rsidRPr="00332226" w:rsidRDefault="00332226" w:rsidP="00332226">
            <w:pPr>
              <w:tabs>
                <w:tab w:val="left" w:pos="1056"/>
                <w:tab w:val="center" w:pos="1350"/>
              </w:tabs>
              <w:rPr>
                <w:noProof/>
                <w:sz w:val="24"/>
                <w:szCs w:val="24"/>
                <w:rtl/>
              </w:rPr>
            </w:pPr>
            <w:r w:rsidRPr="00332226">
              <w:rPr>
                <w:noProof/>
                <w:sz w:val="24"/>
                <w:szCs w:val="24"/>
                <w:rtl/>
              </w:rPr>
              <w:t>תוספת מקדם בגין תיאומים וישיבות עם שתי רשויות ומעלה</w:t>
            </w:r>
            <w:r w:rsidR="00CE6A85">
              <w:rPr>
                <w:rFonts w:hint="cs"/>
                <w:noProof/>
                <w:sz w:val="24"/>
                <w:szCs w:val="24"/>
                <w:rtl/>
              </w:rPr>
              <w:t xml:space="preserve"> (לא כולל נת"א</w:t>
            </w:r>
            <w:r w:rsidR="008D6DCD">
              <w:rPr>
                <w:rFonts w:hint="cs"/>
                <w:noProof/>
                <w:sz w:val="24"/>
                <w:szCs w:val="24"/>
                <w:rtl/>
              </w:rPr>
              <w:t xml:space="preserve"> עצמה</w:t>
            </w:r>
            <w:r w:rsidR="00CE6A85">
              <w:rPr>
                <w:rFonts w:hint="cs"/>
                <w:noProof/>
                <w:sz w:val="24"/>
                <w:szCs w:val="24"/>
                <w:rtl/>
              </w:rPr>
              <w:t>)</w:t>
            </w:r>
            <w:r w:rsidR="00582682">
              <w:rPr>
                <w:rFonts w:hint="cs"/>
                <w:noProof/>
                <w:sz w:val="24"/>
                <w:szCs w:val="24"/>
                <w:rtl/>
              </w:rPr>
              <w:t xml:space="preserve"> תעמוד על 10%</w:t>
            </w:r>
            <w:r w:rsidR="00BE7C69" w:rsidRPr="00332226">
              <w:rPr>
                <w:noProof/>
                <w:sz w:val="24"/>
                <w:szCs w:val="24"/>
                <w:rtl/>
              </w:rPr>
              <w:tab/>
            </w:r>
          </w:p>
          <w:p w14:paraId="0285D49D" w14:textId="021964E1" w:rsidR="00E94274" w:rsidRDefault="00E94274" w:rsidP="00BE7C69">
            <w:pPr>
              <w:tabs>
                <w:tab w:val="left" w:pos="1056"/>
                <w:tab w:val="center" w:pos="1350"/>
              </w:tabs>
              <w:jc w:val="center"/>
              <w:rPr>
                <w:noProof/>
                <w:sz w:val="24"/>
                <w:szCs w:val="24"/>
                <w:rtl/>
              </w:rPr>
            </w:pPr>
          </w:p>
        </w:tc>
      </w:tr>
      <w:tr w:rsidR="00E94274" w14:paraId="51AD49E4" w14:textId="77777777" w:rsidTr="625CC6C3">
        <w:tc>
          <w:tcPr>
            <w:tcW w:w="2655" w:type="dxa"/>
          </w:tcPr>
          <w:p w14:paraId="1E874BD9" w14:textId="77777777" w:rsidR="001742B7" w:rsidRDefault="001742B7" w:rsidP="009251AA">
            <w:pPr>
              <w:tabs>
                <w:tab w:val="left" w:pos="1865"/>
              </w:tabs>
              <w:jc w:val="center"/>
              <w:rPr>
                <w:noProof/>
                <w:sz w:val="28"/>
                <w:szCs w:val="28"/>
                <w:rtl/>
              </w:rPr>
            </w:pPr>
          </w:p>
          <w:p w14:paraId="035761E1" w14:textId="77777777" w:rsidR="001742B7" w:rsidRDefault="001742B7" w:rsidP="009251AA">
            <w:pPr>
              <w:tabs>
                <w:tab w:val="left" w:pos="1865"/>
              </w:tabs>
              <w:jc w:val="center"/>
              <w:rPr>
                <w:noProof/>
                <w:sz w:val="28"/>
                <w:szCs w:val="28"/>
                <w:rtl/>
              </w:rPr>
            </w:pPr>
          </w:p>
          <w:p w14:paraId="61006CA8" w14:textId="77777777" w:rsidR="001742B7" w:rsidRDefault="001742B7" w:rsidP="009251AA">
            <w:pPr>
              <w:tabs>
                <w:tab w:val="left" w:pos="1865"/>
              </w:tabs>
              <w:jc w:val="center"/>
              <w:rPr>
                <w:noProof/>
                <w:sz w:val="28"/>
                <w:szCs w:val="28"/>
                <w:rtl/>
              </w:rPr>
            </w:pPr>
          </w:p>
          <w:p w14:paraId="4BE77FFD" w14:textId="4A52AE95" w:rsidR="00E94274" w:rsidRPr="009251AA" w:rsidRDefault="00F1784D" w:rsidP="009251AA">
            <w:pPr>
              <w:tabs>
                <w:tab w:val="left" w:pos="1865"/>
              </w:tabs>
              <w:jc w:val="center"/>
              <w:rPr>
                <w:noProof/>
                <w:sz w:val="28"/>
                <w:szCs w:val="28"/>
                <w:rtl/>
              </w:rPr>
            </w:pPr>
            <w:r w:rsidRPr="009251AA">
              <w:rPr>
                <w:rFonts w:hint="cs"/>
                <w:noProof/>
                <w:sz w:val="28"/>
                <w:szCs w:val="28"/>
                <w:rtl/>
              </w:rPr>
              <w:t xml:space="preserve">חלוקה </w:t>
            </w:r>
            <w:r w:rsidR="006B71CF" w:rsidRPr="009251AA">
              <w:rPr>
                <w:rFonts w:hint="cs"/>
                <w:noProof/>
                <w:sz w:val="28"/>
                <w:szCs w:val="28"/>
                <w:rtl/>
              </w:rPr>
              <w:t>לחבילות תכנון</w:t>
            </w:r>
          </w:p>
        </w:tc>
        <w:tc>
          <w:tcPr>
            <w:tcW w:w="2875" w:type="dxa"/>
          </w:tcPr>
          <w:p w14:paraId="0B25ED6C" w14:textId="7C019716" w:rsidR="00E94274" w:rsidRPr="00AF2BBD" w:rsidRDefault="00AF2BBD" w:rsidP="00AF2BBD">
            <w:pPr>
              <w:rPr>
                <w:noProof/>
                <w:sz w:val="24"/>
                <w:szCs w:val="24"/>
                <w:rtl/>
              </w:rPr>
            </w:pPr>
            <w:r w:rsidRPr="00AF2BBD">
              <w:rPr>
                <w:noProof/>
                <w:sz w:val="24"/>
                <w:szCs w:val="24"/>
                <w:rtl/>
              </w:rPr>
              <w:t>המקדם יינתן עבור פרויקטים שחולקו למקטעי תכנון בהחלטת החטיבה המבצעת, וזאת בתנאי שמדובר במקטעים נפרדים בלוח הזמנים הכוללים נקודות בקרה (שיפוטים) נפרדות</w:t>
            </w:r>
            <w:r w:rsidRPr="00AF2BBD">
              <w:rPr>
                <w:noProof/>
                <w:sz w:val="24"/>
                <w:szCs w:val="24"/>
              </w:rPr>
              <w:t>.</w:t>
            </w:r>
          </w:p>
        </w:tc>
        <w:tc>
          <w:tcPr>
            <w:tcW w:w="3506" w:type="dxa"/>
          </w:tcPr>
          <w:p w14:paraId="7123D421" w14:textId="5EB496A4" w:rsidR="00843271" w:rsidRDefault="00DC3867" w:rsidP="00843271">
            <w:pPr>
              <w:rPr>
                <w:noProof/>
                <w:sz w:val="24"/>
                <w:szCs w:val="24"/>
                <w:rtl/>
              </w:rPr>
            </w:pPr>
            <w:r w:rsidRPr="00EF5F6F">
              <w:rPr>
                <w:noProof/>
                <w:sz w:val="24"/>
                <w:szCs w:val="24"/>
              </w:rPr>
              <w:t xml:space="preserve"> </w:t>
            </w:r>
            <w:r w:rsidR="00843271" w:rsidRPr="00EF5F6F">
              <w:rPr>
                <w:noProof/>
                <w:sz w:val="24"/>
                <w:szCs w:val="24"/>
                <w:rtl/>
              </w:rPr>
              <w:t>בהתאם לחלוקה הבאה</w:t>
            </w:r>
            <w:r w:rsidR="00843271" w:rsidRPr="00EF5F6F">
              <w:rPr>
                <w:noProof/>
                <w:sz w:val="24"/>
                <w:szCs w:val="24"/>
              </w:rPr>
              <w:t>:</w:t>
            </w:r>
          </w:p>
          <w:p w14:paraId="0CD1DC16" w14:textId="77777777" w:rsidR="00030997" w:rsidRPr="00EF5F6F" w:rsidRDefault="00030997" w:rsidP="00843271">
            <w:pPr>
              <w:rPr>
                <w:noProof/>
                <w:sz w:val="24"/>
                <w:szCs w:val="24"/>
              </w:rPr>
            </w:pPr>
          </w:p>
          <w:p w14:paraId="068DF2AC" w14:textId="7AD5EAA3" w:rsidR="00843271" w:rsidRPr="00843271" w:rsidRDefault="00843271" w:rsidP="00EF5F6F">
            <w:pPr>
              <w:rPr>
                <w:noProof/>
                <w:sz w:val="24"/>
                <w:szCs w:val="24"/>
              </w:rPr>
            </w:pPr>
            <w:r w:rsidRPr="00843271">
              <w:rPr>
                <w:noProof/>
                <w:sz w:val="24"/>
                <w:szCs w:val="24"/>
                <w:rtl/>
              </w:rPr>
              <w:t xml:space="preserve">חלוקה ל-2 </w:t>
            </w:r>
            <w:r w:rsidR="00EF5F6F" w:rsidRPr="00EF5F6F">
              <w:rPr>
                <w:rFonts w:hint="cs"/>
                <w:noProof/>
                <w:sz w:val="24"/>
                <w:szCs w:val="24"/>
                <w:rtl/>
              </w:rPr>
              <w:t xml:space="preserve"> </w:t>
            </w:r>
            <w:r w:rsidRPr="00843271">
              <w:rPr>
                <w:noProof/>
                <w:sz w:val="24"/>
                <w:szCs w:val="24"/>
                <w:rtl/>
              </w:rPr>
              <w:t>מקטעים</w:t>
            </w:r>
            <w:r w:rsidRPr="00843271">
              <w:rPr>
                <w:noProof/>
                <w:sz w:val="24"/>
                <w:szCs w:val="24"/>
              </w:rPr>
              <w:t>: 4%</w:t>
            </w:r>
          </w:p>
          <w:p w14:paraId="0EA36D8E" w14:textId="77777777" w:rsidR="00843271" w:rsidRPr="00843271" w:rsidRDefault="00843271" w:rsidP="00EF5F6F">
            <w:pPr>
              <w:rPr>
                <w:noProof/>
                <w:sz w:val="24"/>
                <w:szCs w:val="24"/>
              </w:rPr>
            </w:pPr>
            <w:r w:rsidRPr="00843271">
              <w:rPr>
                <w:noProof/>
                <w:sz w:val="24"/>
                <w:szCs w:val="24"/>
                <w:rtl/>
              </w:rPr>
              <w:t>חלוקה ל-3 מקטעים</w:t>
            </w:r>
            <w:r w:rsidRPr="00843271">
              <w:rPr>
                <w:noProof/>
                <w:sz w:val="24"/>
                <w:szCs w:val="24"/>
              </w:rPr>
              <w:t>: 7%</w:t>
            </w:r>
          </w:p>
          <w:p w14:paraId="2EAE957D" w14:textId="77777777" w:rsidR="00843271" w:rsidRPr="00843271" w:rsidRDefault="00843271" w:rsidP="00EF5F6F">
            <w:pPr>
              <w:rPr>
                <w:noProof/>
                <w:sz w:val="24"/>
                <w:szCs w:val="24"/>
              </w:rPr>
            </w:pPr>
            <w:r w:rsidRPr="00843271">
              <w:rPr>
                <w:noProof/>
                <w:sz w:val="24"/>
                <w:szCs w:val="24"/>
                <w:rtl/>
              </w:rPr>
              <w:t>חלוקה ל-4 מקטעים</w:t>
            </w:r>
            <w:r w:rsidRPr="00843271">
              <w:rPr>
                <w:noProof/>
                <w:sz w:val="24"/>
                <w:szCs w:val="24"/>
              </w:rPr>
              <w:t>: 9%</w:t>
            </w:r>
          </w:p>
          <w:p w14:paraId="7AA99906" w14:textId="2F4BCB61" w:rsidR="00843271" w:rsidRPr="00843271" w:rsidRDefault="00843271" w:rsidP="00EF5F6F">
            <w:pPr>
              <w:rPr>
                <w:noProof/>
                <w:sz w:val="24"/>
                <w:szCs w:val="24"/>
              </w:rPr>
            </w:pPr>
            <w:r w:rsidRPr="00843271">
              <w:rPr>
                <w:noProof/>
                <w:sz w:val="24"/>
                <w:szCs w:val="24"/>
                <w:rtl/>
              </w:rPr>
              <w:t>חלוקה ל-5 מקטעים או</w:t>
            </w:r>
            <w:r w:rsidR="00EF5F6F">
              <w:rPr>
                <w:rFonts w:hint="cs"/>
                <w:noProof/>
                <w:sz w:val="24"/>
                <w:szCs w:val="24"/>
                <w:rtl/>
              </w:rPr>
              <w:t xml:space="preserve"> </w:t>
            </w:r>
            <w:r w:rsidRPr="00843271">
              <w:rPr>
                <w:noProof/>
                <w:sz w:val="24"/>
                <w:szCs w:val="24"/>
                <w:rtl/>
              </w:rPr>
              <w:t>יותר</w:t>
            </w:r>
            <w:r w:rsidR="00030997">
              <w:rPr>
                <w:rFonts w:hint="cs"/>
                <w:noProof/>
                <w:sz w:val="24"/>
                <w:szCs w:val="24"/>
                <w:rtl/>
              </w:rPr>
              <w:t>: 10%</w:t>
            </w:r>
          </w:p>
          <w:p w14:paraId="2AC71536" w14:textId="5760795C" w:rsidR="00843271" w:rsidRPr="00EF5F6F" w:rsidRDefault="00843271" w:rsidP="00843271">
            <w:pPr>
              <w:rPr>
                <w:noProof/>
                <w:sz w:val="24"/>
                <w:szCs w:val="24"/>
              </w:rPr>
            </w:pPr>
          </w:p>
          <w:p w14:paraId="4911F9E9" w14:textId="4C96C7C6" w:rsidR="00E94274" w:rsidRDefault="00E94274" w:rsidP="00813358">
            <w:pPr>
              <w:rPr>
                <w:noProof/>
                <w:sz w:val="24"/>
                <w:szCs w:val="24"/>
                <w:rtl/>
              </w:rPr>
            </w:pPr>
          </w:p>
        </w:tc>
      </w:tr>
    </w:tbl>
    <w:p w14:paraId="5B201AF1" w14:textId="77777777" w:rsidR="00694F90" w:rsidRPr="00616ADD" w:rsidRDefault="00694F90" w:rsidP="00694F90">
      <w:pPr>
        <w:rPr>
          <w:noProof/>
          <w:sz w:val="24"/>
          <w:szCs w:val="24"/>
          <w:rtl/>
        </w:rPr>
      </w:pPr>
    </w:p>
    <w:sectPr w:rsidR="00694F90" w:rsidRPr="00616ADD" w:rsidSect="008F55B6">
      <w:headerReference w:type="default" r:id="rId15"/>
      <w:footerReference w:type="default" r:id="rId16"/>
      <w:pgSz w:w="11906" w:h="16838"/>
      <w:pgMar w:top="1440" w:right="1800" w:bottom="1440" w:left="1800" w:header="708" w:footer="0"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FA9F0A" w14:textId="77777777" w:rsidR="00F043D5" w:rsidRDefault="00F043D5" w:rsidP="003F199A">
      <w:pPr>
        <w:spacing w:after="0" w:line="240" w:lineRule="auto"/>
      </w:pPr>
      <w:r>
        <w:separator/>
      </w:r>
    </w:p>
  </w:endnote>
  <w:endnote w:type="continuationSeparator" w:id="0">
    <w:p w14:paraId="6539B0B3" w14:textId="77777777" w:rsidR="00F043D5" w:rsidRDefault="00F043D5" w:rsidP="003F19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06286" w14:textId="77777777" w:rsidR="003F199A" w:rsidRDefault="005363AB" w:rsidP="00B979B7">
    <w:pPr>
      <w:pStyle w:val="Footer"/>
      <w:rPr>
        <w:rtl/>
      </w:rPr>
    </w:pPr>
    <w:r>
      <w:rPr>
        <w:rFonts w:hint="cs"/>
        <w:noProof/>
        <w:lang w:val="he-IL"/>
      </w:rPr>
      <w:drawing>
        <wp:anchor distT="0" distB="0" distL="114300" distR="114300" simplePos="0" relativeHeight="251658241" behindDoc="0" locked="0" layoutInCell="1" allowOverlap="1" wp14:anchorId="6819A0D7" wp14:editId="3A3C33F8">
          <wp:simplePos x="0" y="0"/>
          <wp:positionH relativeFrom="page">
            <wp:posOffset>8255</wp:posOffset>
          </wp:positionH>
          <wp:positionV relativeFrom="paragraph">
            <wp:posOffset>-607060</wp:posOffset>
          </wp:positionV>
          <wp:extent cx="7552055" cy="1283335"/>
          <wp:effectExtent l="0" t="0" r="0" b="0"/>
          <wp:wrapTopAndBottom/>
          <wp:docPr id="1" name="Picture 1" descr="A black and white rectangular object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rectangular object with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2055" cy="1283335"/>
                  </a:xfrm>
                  <a:prstGeom prst="rect">
                    <a:avLst/>
                  </a:prstGeom>
                </pic:spPr>
              </pic:pic>
            </a:graphicData>
          </a:graphic>
          <wp14:sizeRelH relativeFrom="page">
            <wp14:pctWidth>0</wp14:pctWidth>
          </wp14:sizeRelH>
          <wp14:sizeRelV relativeFrom="page">
            <wp14:pctHeight>0</wp14:pctHeight>
          </wp14:sizeRelV>
        </wp:anchor>
      </w:drawing>
    </w:r>
    <w:r>
      <w:rPr>
        <w:rFonts w:hint="cs"/>
        <w:noProof/>
        <w:lang w:val="he-I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FD991C" w14:textId="77777777" w:rsidR="00F043D5" w:rsidRDefault="00F043D5" w:rsidP="003F199A">
      <w:pPr>
        <w:spacing w:after="0" w:line="240" w:lineRule="auto"/>
      </w:pPr>
      <w:r>
        <w:separator/>
      </w:r>
    </w:p>
  </w:footnote>
  <w:footnote w:type="continuationSeparator" w:id="0">
    <w:p w14:paraId="2D8F7603" w14:textId="77777777" w:rsidR="00F043D5" w:rsidRDefault="00F043D5" w:rsidP="003F19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9FB90" w14:textId="77777777" w:rsidR="003F199A" w:rsidRPr="00C7597D" w:rsidRDefault="005D5C1C" w:rsidP="005D5C1C">
    <w:pPr>
      <w:pStyle w:val="Header"/>
      <w:jc w:val="right"/>
      <w:rPr>
        <w:rtl/>
      </w:rPr>
    </w:pPr>
    <w:r>
      <w:rPr>
        <w:noProof/>
      </w:rPr>
      <w:drawing>
        <wp:anchor distT="0" distB="0" distL="114300" distR="114300" simplePos="0" relativeHeight="251658240" behindDoc="1" locked="0" layoutInCell="1" allowOverlap="1" wp14:anchorId="2FEAB5CE" wp14:editId="5A4D71F5">
          <wp:simplePos x="0" y="0"/>
          <wp:positionH relativeFrom="margin">
            <wp:posOffset>4701218</wp:posOffset>
          </wp:positionH>
          <wp:positionV relativeFrom="paragraph">
            <wp:posOffset>-248681</wp:posOffset>
          </wp:positionV>
          <wp:extent cx="1340218" cy="869867"/>
          <wp:effectExtent l="0" t="0" r="0" b="6985"/>
          <wp:wrapNone/>
          <wp:docPr id="5" name="תמונה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תמונה 3"/>
                  <pic:cNvPicPr/>
                </pic:nvPicPr>
                <pic:blipFill>
                  <a:blip r:embed="rId1">
                    <a:extLst>
                      <a:ext uri="{28A0092B-C50C-407E-A947-70E740481C1C}">
                        <a14:useLocalDpi xmlns:a14="http://schemas.microsoft.com/office/drawing/2010/main" val="0"/>
                      </a:ext>
                    </a:extLst>
                  </a:blip>
                  <a:stretch>
                    <a:fillRect/>
                  </a:stretch>
                </pic:blipFill>
                <pic:spPr>
                  <a:xfrm>
                    <a:off x="0" y="0"/>
                    <a:ext cx="1340218" cy="869867"/>
                  </a:xfrm>
                  <a:prstGeom prst="rect">
                    <a:avLst/>
                  </a:prstGeom>
                </pic:spPr>
              </pic:pic>
            </a:graphicData>
          </a:graphic>
          <wp14:sizeRelH relativeFrom="margin">
            <wp14:pctWidth>0</wp14:pctWidth>
          </wp14:sizeRelH>
          <wp14:sizeRelV relativeFrom="margin">
            <wp14:pctHeight>0</wp14:pctHeight>
          </wp14:sizeRelV>
        </wp:anchor>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02A76"/>
    <w:multiLevelType w:val="multilevel"/>
    <w:tmpl w:val="6A603F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8301374"/>
    <w:multiLevelType w:val="multilevel"/>
    <w:tmpl w:val="DFEC0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34E3A7B"/>
    <w:multiLevelType w:val="multilevel"/>
    <w:tmpl w:val="68BA1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F4B3CD0"/>
    <w:multiLevelType w:val="multilevel"/>
    <w:tmpl w:val="FC24BB76"/>
    <w:lvl w:ilvl="0">
      <w:start w:val="1"/>
      <w:numFmt w:val="bullet"/>
      <w:lvlText w:val=""/>
      <w:lvlJc w:val="left"/>
      <w:pPr>
        <w:tabs>
          <w:tab w:val="num" w:pos="644"/>
        </w:tabs>
        <w:ind w:left="644" w:hanging="360"/>
      </w:pPr>
      <w:rPr>
        <w:rFonts w:ascii="Symbol" w:hAnsi="Symbol" w:hint="default"/>
        <w:sz w:val="20"/>
        <w:lang w:bidi="he-IL"/>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63A089F"/>
    <w:multiLevelType w:val="multilevel"/>
    <w:tmpl w:val="F7C00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35422673">
    <w:abstractNumId w:val="3"/>
  </w:num>
  <w:num w:numId="2" w16cid:durableId="1082752449">
    <w:abstractNumId w:val="0"/>
  </w:num>
  <w:num w:numId="3" w16cid:durableId="1265112994">
    <w:abstractNumId w:val="1"/>
  </w:num>
  <w:num w:numId="4" w16cid:durableId="822157001">
    <w:abstractNumId w:val="4"/>
  </w:num>
  <w:num w:numId="5" w16cid:durableId="18855539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907"/>
    <w:rsid w:val="000054E4"/>
    <w:rsid w:val="00016300"/>
    <w:rsid w:val="00017D8F"/>
    <w:rsid w:val="00024005"/>
    <w:rsid w:val="0002564A"/>
    <w:rsid w:val="00030997"/>
    <w:rsid w:val="000321A7"/>
    <w:rsid w:val="00043B3A"/>
    <w:rsid w:val="00060AF9"/>
    <w:rsid w:val="0006403C"/>
    <w:rsid w:val="000736A4"/>
    <w:rsid w:val="000820A1"/>
    <w:rsid w:val="000959CC"/>
    <w:rsid w:val="000B10BE"/>
    <w:rsid w:val="000B7881"/>
    <w:rsid w:val="000C1DE7"/>
    <w:rsid w:val="000C7C7B"/>
    <w:rsid w:val="000D23DC"/>
    <w:rsid w:val="000D4825"/>
    <w:rsid w:val="000E2467"/>
    <w:rsid w:val="000F5ED2"/>
    <w:rsid w:val="00103F1D"/>
    <w:rsid w:val="00106E22"/>
    <w:rsid w:val="00153A20"/>
    <w:rsid w:val="0015424A"/>
    <w:rsid w:val="00161D4A"/>
    <w:rsid w:val="00164995"/>
    <w:rsid w:val="00166CD2"/>
    <w:rsid w:val="001742B7"/>
    <w:rsid w:val="001A5849"/>
    <w:rsid w:val="001D312A"/>
    <w:rsid w:val="001E087A"/>
    <w:rsid w:val="001F35D0"/>
    <w:rsid w:val="001F36F7"/>
    <w:rsid w:val="0021315E"/>
    <w:rsid w:val="00225687"/>
    <w:rsid w:val="00227087"/>
    <w:rsid w:val="002451D2"/>
    <w:rsid w:val="00295D3D"/>
    <w:rsid w:val="002A3D93"/>
    <w:rsid w:val="002A4981"/>
    <w:rsid w:val="002A5B1A"/>
    <w:rsid w:val="002B17EF"/>
    <w:rsid w:val="002B5C97"/>
    <w:rsid w:val="002B7348"/>
    <w:rsid w:val="002C065D"/>
    <w:rsid w:val="003008F9"/>
    <w:rsid w:val="00305BFA"/>
    <w:rsid w:val="00307D49"/>
    <w:rsid w:val="00323B05"/>
    <w:rsid w:val="00332226"/>
    <w:rsid w:val="00334C75"/>
    <w:rsid w:val="00337B1A"/>
    <w:rsid w:val="00380EFD"/>
    <w:rsid w:val="00395E78"/>
    <w:rsid w:val="003A07C8"/>
    <w:rsid w:val="003A1045"/>
    <w:rsid w:val="003D2178"/>
    <w:rsid w:val="003E6B43"/>
    <w:rsid w:val="003E764A"/>
    <w:rsid w:val="003F199A"/>
    <w:rsid w:val="003F5E39"/>
    <w:rsid w:val="0040013A"/>
    <w:rsid w:val="00411CA8"/>
    <w:rsid w:val="00422154"/>
    <w:rsid w:val="00422E50"/>
    <w:rsid w:val="0042405A"/>
    <w:rsid w:val="0044275B"/>
    <w:rsid w:val="004504C9"/>
    <w:rsid w:val="00451A85"/>
    <w:rsid w:val="00491E9B"/>
    <w:rsid w:val="004B532E"/>
    <w:rsid w:val="004B5E8F"/>
    <w:rsid w:val="004C0053"/>
    <w:rsid w:val="004D1697"/>
    <w:rsid w:val="004E77AD"/>
    <w:rsid w:val="004E787D"/>
    <w:rsid w:val="004F0FED"/>
    <w:rsid w:val="004F6B21"/>
    <w:rsid w:val="004F7A9C"/>
    <w:rsid w:val="005001AA"/>
    <w:rsid w:val="005302EF"/>
    <w:rsid w:val="005347E6"/>
    <w:rsid w:val="005363AB"/>
    <w:rsid w:val="005810AE"/>
    <w:rsid w:val="00582682"/>
    <w:rsid w:val="005A216C"/>
    <w:rsid w:val="005B150F"/>
    <w:rsid w:val="005B6907"/>
    <w:rsid w:val="005D2BAF"/>
    <w:rsid w:val="005D50B4"/>
    <w:rsid w:val="005D5C1C"/>
    <w:rsid w:val="0060751C"/>
    <w:rsid w:val="00616ADD"/>
    <w:rsid w:val="00617367"/>
    <w:rsid w:val="006411AE"/>
    <w:rsid w:val="00671961"/>
    <w:rsid w:val="0068733E"/>
    <w:rsid w:val="00687B6E"/>
    <w:rsid w:val="00694F90"/>
    <w:rsid w:val="006967D4"/>
    <w:rsid w:val="006B45DF"/>
    <w:rsid w:val="006B71CF"/>
    <w:rsid w:val="006C3466"/>
    <w:rsid w:val="006C3E37"/>
    <w:rsid w:val="006F5D73"/>
    <w:rsid w:val="006F7F3F"/>
    <w:rsid w:val="0074036F"/>
    <w:rsid w:val="00741618"/>
    <w:rsid w:val="00744E2D"/>
    <w:rsid w:val="007622A6"/>
    <w:rsid w:val="00765C72"/>
    <w:rsid w:val="0076722B"/>
    <w:rsid w:val="007769EC"/>
    <w:rsid w:val="0077744C"/>
    <w:rsid w:val="007A2A6D"/>
    <w:rsid w:val="007B7B91"/>
    <w:rsid w:val="007D6B57"/>
    <w:rsid w:val="007F16E4"/>
    <w:rsid w:val="007F2441"/>
    <w:rsid w:val="00810D46"/>
    <w:rsid w:val="00812244"/>
    <w:rsid w:val="00813358"/>
    <w:rsid w:val="00840B3A"/>
    <w:rsid w:val="00843271"/>
    <w:rsid w:val="00846F8A"/>
    <w:rsid w:val="008853B5"/>
    <w:rsid w:val="008A3C3C"/>
    <w:rsid w:val="008C44C3"/>
    <w:rsid w:val="008D5E6A"/>
    <w:rsid w:val="008D6008"/>
    <w:rsid w:val="008D6DCD"/>
    <w:rsid w:val="008F40FD"/>
    <w:rsid w:val="008F4469"/>
    <w:rsid w:val="008F55B6"/>
    <w:rsid w:val="00905102"/>
    <w:rsid w:val="00916DC5"/>
    <w:rsid w:val="009251AA"/>
    <w:rsid w:val="00946DA5"/>
    <w:rsid w:val="009578EA"/>
    <w:rsid w:val="00980265"/>
    <w:rsid w:val="00982624"/>
    <w:rsid w:val="009852EB"/>
    <w:rsid w:val="00987F67"/>
    <w:rsid w:val="009B633B"/>
    <w:rsid w:val="009E2E7C"/>
    <w:rsid w:val="009F5766"/>
    <w:rsid w:val="00A010DC"/>
    <w:rsid w:val="00A03D88"/>
    <w:rsid w:val="00A11E6A"/>
    <w:rsid w:val="00A50567"/>
    <w:rsid w:val="00A5362B"/>
    <w:rsid w:val="00A604CC"/>
    <w:rsid w:val="00A65FA1"/>
    <w:rsid w:val="00A75D10"/>
    <w:rsid w:val="00A85C38"/>
    <w:rsid w:val="00A96407"/>
    <w:rsid w:val="00AA11F2"/>
    <w:rsid w:val="00AA7C16"/>
    <w:rsid w:val="00AC597A"/>
    <w:rsid w:val="00AD0A68"/>
    <w:rsid w:val="00AD74E6"/>
    <w:rsid w:val="00AF0969"/>
    <w:rsid w:val="00AF2BBD"/>
    <w:rsid w:val="00B06121"/>
    <w:rsid w:val="00B07497"/>
    <w:rsid w:val="00B23BFC"/>
    <w:rsid w:val="00B27988"/>
    <w:rsid w:val="00B27AAF"/>
    <w:rsid w:val="00B53898"/>
    <w:rsid w:val="00B53B64"/>
    <w:rsid w:val="00B55E00"/>
    <w:rsid w:val="00B86276"/>
    <w:rsid w:val="00B920F1"/>
    <w:rsid w:val="00B97425"/>
    <w:rsid w:val="00B979B7"/>
    <w:rsid w:val="00BB1B72"/>
    <w:rsid w:val="00BD2C25"/>
    <w:rsid w:val="00BD6259"/>
    <w:rsid w:val="00BE16E2"/>
    <w:rsid w:val="00BE7C69"/>
    <w:rsid w:val="00C115A4"/>
    <w:rsid w:val="00C30A7A"/>
    <w:rsid w:val="00C43924"/>
    <w:rsid w:val="00C45005"/>
    <w:rsid w:val="00C66C1E"/>
    <w:rsid w:val="00C7597D"/>
    <w:rsid w:val="00C816AA"/>
    <w:rsid w:val="00C83914"/>
    <w:rsid w:val="00C857D1"/>
    <w:rsid w:val="00CB42B4"/>
    <w:rsid w:val="00CB795E"/>
    <w:rsid w:val="00CD1BC6"/>
    <w:rsid w:val="00CD4B19"/>
    <w:rsid w:val="00CE5304"/>
    <w:rsid w:val="00CE6A85"/>
    <w:rsid w:val="00CE6FEC"/>
    <w:rsid w:val="00CF73F8"/>
    <w:rsid w:val="00D2588A"/>
    <w:rsid w:val="00D26846"/>
    <w:rsid w:val="00D351CB"/>
    <w:rsid w:val="00D67C23"/>
    <w:rsid w:val="00DB639C"/>
    <w:rsid w:val="00DC3867"/>
    <w:rsid w:val="00DD2344"/>
    <w:rsid w:val="00DF2230"/>
    <w:rsid w:val="00E119DC"/>
    <w:rsid w:val="00E14427"/>
    <w:rsid w:val="00E1630C"/>
    <w:rsid w:val="00E17BB5"/>
    <w:rsid w:val="00E313ED"/>
    <w:rsid w:val="00E438E6"/>
    <w:rsid w:val="00E84612"/>
    <w:rsid w:val="00E86116"/>
    <w:rsid w:val="00E86D55"/>
    <w:rsid w:val="00E94274"/>
    <w:rsid w:val="00EA483A"/>
    <w:rsid w:val="00EB5AC5"/>
    <w:rsid w:val="00EF5F6F"/>
    <w:rsid w:val="00F019E5"/>
    <w:rsid w:val="00F043D5"/>
    <w:rsid w:val="00F1784D"/>
    <w:rsid w:val="00F269C0"/>
    <w:rsid w:val="00F45AC8"/>
    <w:rsid w:val="00F56D18"/>
    <w:rsid w:val="00F760BC"/>
    <w:rsid w:val="00F84178"/>
    <w:rsid w:val="00F95DDD"/>
    <w:rsid w:val="00FA260D"/>
    <w:rsid w:val="00FD28B8"/>
    <w:rsid w:val="0280A790"/>
    <w:rsid w:val="19C8CE68"/>
    <w:rsid w:val="2D8C9DD5"/>
    <w:rsid w:val="4EB38397"/>
    <w:rsid w:val="4F31845A"/>
    <w:rsid w:val="625CC6C3"/>
    <w:rsid w:val="69D9A7E3"/>
    <w:rsid w:val="70C1DCF0"/>
    <w:rsid w:val="75FCD18E"/>
    <w:rsid w:val="7A92800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F298EF"/>
  <w15:chartTrackingRefBased/>
  <w15:docId w15:val="{AA6469E2-52A2-48DF-A893-BF52C74AE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5E78"/>
    <w:pPr>
      <w:bidi/>
    </w:pPr>
  </w:style>
  <w:style w:type="paragraph" w:styleId="Heading1">
    <w:name w:val="heading 1"/>
    <w:basedOn w:val="Normal"/>
    <w:next w:val="Normal"/>
    <w:link w:val="Heading1Char"/>
    <w:uiPriority w:val="9"/>
    <w:qFormat/>
    <w:rsid w:val="005B690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B690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B690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B690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B690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B69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69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69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69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199A"/>
    <w:pPr>
      <w:tabs>
        <w:tab w:val="center" w:pos="4153"/>
        <w:tab w:val="right" w:pos="8306"/>
      </w:tabs>
      <w:spacing w:after="0" w:line="240" w:lineRule="auto"/>
    </w:pPr>
  </w:style>
  <w:style w:type="character" w:customStyle="1" w:styleId="HeaderChar">
    <w:name w:val="Header Char"/>
    <w:basedOn w:val="DefaultParagraphFont"/>
    <w:link w:val="Header"/>
    <w:uiPriority w:val="99"/>
    <w:rsid w:val="003F199A"/>
  </w:style>
  <w:style w:type="paragraph" w:styleId="Footer">
    <w:name w:val="footer"/>
    <w:basedOn w:val="Normal"/>
    <w:link w:val="FooterChar"/>
    <w:uiPriority w:val="99"/>
    <w:unhideWhenUsed/>
    <w:rsid w:val="003F199A"/>
    <w:pPr>
      <w:tabs>
        <w:tab w:val="center" w:pos="4153"/>
        <w:tab w:val="right" w:pos="8306"/>
      </w:tabs>
      <w:spacing w:after="0" w:line="240" w:lineRule="auto"/>
    </w:pPr>
  </w:style>
  <w:style w:type="character" w:customStyle="1" w:styleId="FooterChar">
    <w:name w:val="Footer Char"/>
    <w:basedOn w:val="DefaultParagraphFont"/>
    <w:link w:val="Footer"/>
    <w:uiPriority w:val="99"/>
    <w:rsid w:val="003F199A"/>
  </w:style>
  <w:style w:type="character" w:customStyle="1" w:styleId="Heading1Char">
    <w:name w:val="Heading 1 Char"/>
    <w:basedOn w:val="DefaultParagraphFont"/>
    <w:link w:val="Heading1"/>
    <w:uiPriority w:val="9"/>
    <w:rsid w:val="005B690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B690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B690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B690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B690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B69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69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69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6907"/>
    <w:rPr>
      <w:rFonts w:eastAsiaTheme="majorEastAsia" w:cstheme="majorBidi"/>
      <w:color w:val="272727" w:themeColor="text1" w:themeTint="D8"/>
    </w:rPr>
  </w:style>
  <w:style w:type="paragraph" w:styleId="Title">
    <w:name w:val="Title"/>
    <w:basedOn w:val="Normal"/>
    <w:next w:val="Normal"/>
    <w:link w:val="TitleChar"/>
    <w:uiPriority w:val="10"/>
    <w:qFormat/>
    <w:rsid w:val="005B69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69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69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69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6907"/>
    <w:pPr>
      <w:spacing w:before="160"/>
      <w:jc w:val="center"/>
    </w:pPr>
    <w:rPr>
      <w:i/>
      <w:iCs/>
      <w:color w:val="404040" w:themeColor="text1" w:themeTint="BF"/>
    </w:rPr>
  </w:style>
  <w:style w:type="character" w:customStyle="1" w:styleId="QuoteChar">
    <w:name w:val="Quote Char"/>
    <w:basedOn w:val="DefaultParagraphFont"/>
    <w:link w:val="Quote"/>
    <w:uiPriority w:val="29"/>
    <w:rsid w:val="005B6907"/>
    <w:rPr>
      <w:i/>
      <w:iCs/>
      <w:color w:val="404040" w:themeColor="text1" w:themeTint="BF"/>
    </w:rPr>
  </w:style>
  <w:style w:type="paragraph" w:styleId="ListParagraph">
    <w:name w:val="List Paragraph"/>
    <w:basedOn w:val="Normal"/>
    <w:uiPriority w:val="34"/>
    <w:qFormat/>
    <w:rsid w:val="005B6907"/>
    <w:pPr>
      <w:ind w:left="720"/>
      <w:contextualSpacing/>
    </w:pPr>
  </w:style>
  <w:style w:type="character" w:styleId="IntenseEmphasis">
    <w:name w:val="Intense Emphasis"/>
    <w:basedOn w:val="DefaultParagraphFont"/>
    <w:uiPriority w:val="21"/>
    <w:qFormat/>
    <w:rsid w:val="005B6907"/>
    <w:rPr>
      <w:i/>
      <w:iCs/>
      <w:color w:val="2F5496" w:themeColor="accent1" w:themeShade="BF"/>
    </w:rPr>
  </w:style>
  <w:style w:type="paragraph" w:styleId="IntenseQuote">
    <w:name w:val="Intense Quote"/>
    <w:basedOn w:val="Normal"/>
    <w:next w:val="Normal"/>
    <w:link w:val="IntenseQuoteChar"/>
    <w:uiPriority w:val="30"/>
    <w:qFormat/>
    <w:rsid w:val="005B690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B6907"/>
    <w:rPr>
      <w:i/>
      <w:iCs/>
      <w:color w:val="2F5496" w:themeColor="accent1" w:themeShade="BF"/>
    </w:rPr>
  </w:style>
  <w:style w:type="character" w:styleId="IntenseReference">
    <w:name w:val="Intense Reference"/>
    <w:basedOn w:val="DefaultParagraphFont"/>
    <w:uiPriority w:val="32"/>
    <w:qFormat/>
    <w:rsid w:val="005B6907"/>
    <w:rPr>
      <w:b/>
      <w:bCs/>
      <w:smallCaps/>
      <w:color w:val="2F5496" w:themeColor="accent1" w:themeShade="BF"/>
      <w:spacing w:val="5"/>
    </w:rPr>
  </w:style>
  <w:style w:type="character" w:customStyle="1" w:styleId="t286pc">
    <w:name w:val="t286pc"/>
    <w:basedOn w:val="DefaultParagraphFont"/>
    <w:rsid w:val="004D1697"/>
  </w:style>
  <w:style w:type="character" w:styleId="Strong">
    <w:name w:val="Strong"/>
    <w:basedOn w:val="DefaultParagraphFont"/>
    <w:uiPriority w:val="22"/>
    <w:qFormat/>
    <w:rsid w:val="004D1697"/>
    <w:rPr>
      <w:b/>
      <w:bCs/>
    </w:rPr>
  </w:style>
  <w:style w:type="table" w:styleId="TableGrid">
    <w:name w:val="Table Grid"/>
    <w:basedOn w:val="TableNormal"/>
    <w:uiPriority w:val="39"/>
    <w:rsid w:val="00E942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haredContentType xmlns="Microsoft.SharePoint.Taxonomy.ContentTypeSync" SourceId="a15fe29a-6a85-42e7-8522-5a619814cd13" ContentTypeId="0x0101" PreviousValue="false"/>
</file>

<file path=customXml/item3.xml><?xml version="1.0" encoding="utf-8"?>
<?mso-contentType ?>
<p:Policy xmlns:p="office.server.policy" id="" local="true">
  <p:Name>נתיבי איילון - סוג תוכן ניהול מסמכים</p:Name>
  <p:Description/>
  <p:Statement/>
  <p:PolicyItems>
    <p:PolicyItem featureId="Microsoft.Office.RecordsManagement.PolicyFeatures.PolicyAudit" staticId="0x010100C569C36E1FE0094CA1DE38A52B09FA4E|1757814118" UniqueId="c2a0e733-ab66-477f-96c7-56b4addb8947">
      <p:Name>ביקורת</p:Name>
      <p:Description>ביצוע ביקורת על פעולות משתמש במסמכים ובפריטי רשימות ורישומן ביומן הביקורת.</p:Description>
      <p:CustomData>
        <Audit>
          <Update/>
          <CheckInOut/>
          <MoveCopy/>
          <DeleteRestore/>
        </Audit>
      </p:CustomData>
    </p:PolicyItem>
  </p:PolicyItems>
</p:Policy>
</file>

<file path=customXml/item4.xml><?xml version="1.0" encoding="utf-8"?>
<?mso-contentType ?>
<PolicyDirtyBag xmlns="microsoft.office.server.policy.changes">
  <Microsoft.Office.RecordsManagement.PolicyFeatures.PolicyAudit op="Change"/>
  <Microsoft.Office.RecordsManagement.PolicyFeatures.Barcode op="Delete"/>
</PolicyDirtyBag>
</file>

<file path=customXml/item5.xml><?xml version="1.0" encoding="utf-8"?>
<ct:contentTypeSchema xmlns:ct="http://schemas.microsoft.com/office/2006/metadata/contentType" xmlns:ma="http://schemas.microsoft.com/office/2006/metadata/properties/metaAttributes" ct:_="" ma:_="" ma:contentTypeName="נתיבי איילון - סוג תוכן ניהול מסמכים" ma:contentTypeID="0x010100C569C36E1FE0094CA1DE38A52B09FA4E00C7EFAA9A2CAF9344BEC40C4249226CDF" ma:contentTypeVersion="47" ma:contentTypeDescription="" ma:contentTypeScope="" ma:versionID="05249b0e12641667b96feae40ace4863">
  <xsd:schema xmlns:xsd="http://www.w3.org/2001/XMLSchema" xmlns:xs="http://www.w3.org/2001/XMLSchema" xmlns:p="http://schemas.microsoft.com/office/2006/metadata/properties" xmlns:ns1="http://schemas.microsoft.com/sharepoint/v3" xmlns:ns2="c73d6282-3256-4cfc-a05b-12f42521a40c" xmlns:ns3="9343d3c4-2c08-4fb0-bb2e-369ae2ce73f3" targetNamespace="http://schemas.microsoft.com/office/2006/metadata/properties" ma:root="true" ma:fieldsID="d9b35274dabbff57b266397c332eba97" ns1:_="" ns2:_="" ns3:_="">
    <xsd:import namespace="http://schemas.microsoft.com/sharepoint/v3"/>
    <xsd:import namespace="c73d6282-3256-4cfc-a05b-12f42521a40c"/>
    <xsd:import namespace="9343d3c4-2c08-4fb0-bb2e-369ae2ce73f3"/>
    <xsd:element name="properties">
      <xsd:complexType>
        <xsd:sequence>
          <xsd:element name="documentManagement">
            <xsd:complexType>
              <xsd:all>
                <xsd:element ref="ns1:_dlc_Exempt" minOccurs="0"/>
                <xsd:element ref="ns2:_dlc_BarcodeValue" minOccurs="0"/>
                <xsd:element ref="ns2:_dlc_BarcodeImage" minOccurs="0"/>
                <xsd:element ref="ns2:_dlc_BarcodePreview" minOccurs="0"/>
                <xsd:element ref="ns2:trustech_documenttype" minOccurs="0"/>
                <xsd:element ref="ns2:trustech_DocumentStatu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8" nillable="true" ma:displayName="פטור ממדיניות"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73d6282-3256-4cfc-a05b-12f42521a40c" elementFormDefault="qualified">
    <xsd:import namespace="http://schemas.microsoft.com/office/2006/documentManagement/types"/>
    <xsd:import namespace="http://schemas.microsoft.com/office/infopath/2007/PartnerControls"/>
    <xsd:element name="_dlc_BarcodeValue" ma:index="9" nillable="true" ma:displayName="ערך ברקוד" ma:description="ערך הברקוד אשר הוקצה לפריט זה." ma:internalName="_dlc_BarcodeValue" ma:readOnly="true">
      <xsd:simpleType>
        <xsd:restriction base="dms:Text"/>
      </xsd:simpleType>
    </xsd:element>
    <xsd:element name="_dlc_BarcodeImage" ma:index="10" nillable="true" ma:displayName="תמונת ברקוד" ma:description="" ma:hidden="true" ma:internalName="_dlc_BarcodeImage" ma:readOnly="false">
      <xsd:simpleType>
        <xsd:restriction base="dms:Note"/>
      </xsd:simpleType>
    </xsd:element>
    <xsd:element name="_dlc_BarcodePreview" ma:index="11" nillable="true" ma:displayName="ברקוד" ma:description="הברקוד אשר הוקצה לפריט זה." ma:format="Image" ma:hidden="true" ma:internalName="_dlc_BarcodePreview"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rustech_documenttype" ma:index="12" nillable="true" ma:displayName="סוג המסמך" ma:format="Dropdown" ma:internalName="trustech_documenttype">
      <xsd:simpleType>
        <xsd:restriction base="dms:Choice">
          <xsd:enumeration value="נוהל"/>
          <xsd:enumeration value="הנחיה"/>
          <xsd:enumeration value="טופס"/>
          <xsd:enumeration value="דוח"/>
          <xsd:enumeration value="פרוטוקול"/>
          <xsd:enumeration value="מצגת"/>
        </xsd:restriction>
      </xsd:simpleType>
    </xsd:element>
    <xsd:element name="trustech_DocumentStatus" ma:index="13" nillable="true" ma:displayName="סטטוס המסמך" ma:default="טיוטה" ma:format="Dropdown" ma:internalName="trustech_DocumentStatus">
      <xsd:simpleType>
        <xsd:restriction base="dms:Choice">
          <xsd:enumeration value="טיוטה"/>
          <xsd:enumeration value="בסבב אישורים"/>
          <xsd:enumeration value="מאושר"/>
          <xsd:enumeration value="ארכיון"/>
          <xsd:enumeration value="מסמך סופי"/>
        </xsd:restriction>
      </xsd:simpleType>
    </xsd:element>
  </xsd:schema>
  <xsd:schema xmlns:xsd="http://www.w3.org/2001/XMLSchema" xmlns:xs="http://www.w3.org/2001/XMLSchema" xmlns:dms="http://schemas.microsoft.com/office/2006/documentManagement/types" xmlns:pc="http://schemas.microsoft.com/office/infopath/2007/PartnerControls" targetNamespace="9343d3c4-2c08-4fb0-bb2e-369ae2ce73f3" elementFormDefault="qualified">
    <xsd:import namespace="http://schemas.microsoft.com/office/2006/documentManagement/types"/>
    <xsd:import namespace="http://schemas.microsoft.com/office/infopath/2007/PartnerControls"/>
    <xsd:element name="_dlc_DocId" ma:index="14" nillable="true" ma:displayName="ערך של מזהה מסמך" ma:description="הערך של מזהה המסמך שהוקצה לפריט זה." ma:indexed="true" ma:internalName="_dlc_DocId" ma:readOnly="true">
      <xsd:simpleType>
        <xsd:restriction base="dms:Text"/>
      </xsd:simpleType>
    </xsd:element>
    <xsd:element name="_dlc_DocIdUrl" ma:index="15" nillable="true" ma:displayName="מזהה מסמך" ma:description="קישור קבוע למסמך זה."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מזהה תמידי" ma:description="השאר מזהה בעת הוספה."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_dlc_DocId xmlns="9343d3c4-2c08-4fb0-bb2e-369ae2ce73f3">HQ00-2003002162-37502</_dlc_DocId>
    <trustech_documenttype xmlns="c73d6282-3256-4cfc-a05b-12f42521a40c" xsi:nil="true"/>
    <_dlc_BarcodeImage xmlns="c73d6282-3256-4cfc-a05b-12f42521a40c" xsi:nil="true"/>
    <trustech_DocumentStatus xmlns="c73d6282-3256-4cfc-a05b-12f42521a40c">טיוטה</trustech_DocumentStatus>
    <_dlc_DocIdUrl xmlns="9343d3c4-2c08-4fb0-bb2e-369ae2ce73f3">
      <Url>https://ayalonhw.sharepoint.com/sites/EngineeringHeadquartersDivision/_layouts/15/DocIdRedir.aspx?ID=HQ00-2003002162-37502</Url>
      <Description>HQ00-2003002162-37502</Description>
    </_dlc_DocIdUrl>
  </documentManagement>
</p:properties>
</file>

<file path=customXml/item7.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8.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3B6156F-329E-4573-9FD5-54F6772AE10D}">
  <ds:schemaRefs>
    <ds:schemaRef ds:uri="http://schemas.openxmlformats.org/officeDocument/2006/bibliography"/>
  </ds:schemaRefs>
</ds:datastoreItem>
</file>

<file path=customXml/itemProps2.xml><?xml version="1.0" encoding="utf-8"?>
<ds:datastoreItem xmlns:ds="http://schemas.openxmlformats.org/officeDocument/2006/customXml" ds:itemID="{0136F679-1F13-4967-B173-AE0587B8D06F}">
  <ds:schemaRefs>
    <ds:schemaRef ds:uri="Microsoft.SharePoint.Taxonomy.ContentTypeSync"/>
  </ds:schemaRefs>
</ds:datastoreItem>
</file>

<file path=customXml/itemProps3.xml><?xml version="1.0" encoding="utf-8"?>
<ds:datastoreItem xmlns:ds="http://schemas.openxmlformats.org/officeDocument/2006/customXml" ds:itemID="{0091F407-0B5F-4551-BE45-19E10E1323E4}">
  <ds:schemaRefs>
    <ds:schemaRef ds:uri="office.server.policy"/>
  </ds:schemaRefs>
</ds:datastoreItem>
</file>

<file path=customXml/itemProps4.xml><?xml version="1.0" encoding="utf-8"?>
<ds:datastoreItem xmlns:ds="http://schemas.openxmlformats.org/officeDocument/2006/customXml" ds:itemID="{334BE130-D54A-4952-B54B-2253F6A3CCDD}">
  <ds:schemaRefs>
    <ds:schemaRef ds:uri="microsoft.office.server.policy.changes"/>
  </ds:schemaRefs>
</ds:datastoreItem>
</file>

<file path=customXml/itemProps5.xml><?xml version="1.0" encoding="utf-8"?>
<ds:datastoreItem xmlns:ds="http://schemas.openxmlformats.org/officeDocument/2006/customXml" ds:itemID="{D6DD6387-347A-4B93-9E84-D1C8A39C0C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73d6282-3256-4cfc-a05b-12f42521a40c"/>
    <ds:schemaRef ds:uri="9343d3c4-2c08-4fb0-bb2e-369ae2ce73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287DCAAB-4E95-4B20-8F43-FEAA64F6000E}">
  <ds:schemaRefs>
    <ds:schemaRef ds:uri="http://schemas.microsoft.com/office/2006/metadata/properties"/>
    <ds:schemaRef ds:uri="http://schemas.microsoft.com/office/infopath/2007/PartnerControls"/>
    <ds:schemaRef ds:uri="9343d3c4-2c08-4fb0-bb2e-369ae2ce73f3"/>
    <ds:schemaRef ds:uri="c73d6282-3256-4cfc-a05b-12f42521a40c"/>
  </ds:schemaRefs>
</ds:datastoreItem>
</file>

<file path=customXml/itemProps7.xml><?xml version="1.0" encoding="utf-8"?>
<ds:datastoreItem xmlns:ds="http://schemas.openxmlformats.org/officeDocument/2006/customXml" ds:itemID="{F30921B4-4044-4A12-AC72-DCEA18C6DD7D}">
  <ds:schemaRefs>
    <ds:schemaRef ds:uri="http://schemas.microsoft.com/sharepoint/events"/>
  </ds:schemaRefs>
</ds:datastoreItem>
</file>

<file path=customXml/itemProps8.xml><?xml version="1.0" encoding="utf-8"?>
<ds:datastoreItem xmlns:ds="http://schemas.openxmlformats.org/officeDocument/2006/customXml" ds:itemID="{7EE154C2-10D6-4FE9-85D3-9E484FD665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365</Words>
  <Characters>1888</Characters>
  <Application>Microsoft Office Word</Application>
  <DocSecurity>4</DocSecurity>
  <Lines>77</Lines>
  <Paragraphs>30</Paragraphs>
  <ScaleCrop>false</ScaleCrop>
  <Company/>
  <LinksUpToDate>false</LinksUpToDate>
  <CharactersWithSpaces>2234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Svetlana Tanel</dc:creator>
  <cp:keywords/>
  <dc:description/>
  <cp:lastModifiedBy>Svetlana Tanel</cp:lastModifiedBy>
  <cp:revision>191</cp:revision>
  <cp:lastPrinted>2025-12-18T09:03:00Z</cp:lastPrinted>
  <dcterms:created xsi:type="dcterms:W3CDTF">2025-12-18T04:33:00Z</dcterms:created>
  <dcterms:modified xsi:type="dcterms:W3CDTF">2025-12-22T14:05:00Z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0x010100C569C36E1FE0094CA1DE38A52B09FA4E00C7EFAA9A2CAF9344BEC40C4249226CDF</vt:lpwstr>
  </property>
  <property fmtid="{D5CDD505-2E9C-101B-9397-08002B2CF9AE}" pid="3" name="_dlc_DocIdItemGuid">
    <vt:lpwstr>c9c381aa-4af6-43e8-ad3c-856e91a0f61a</vt:lpwstr>
  </property>
</Properties>
</file>